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1569189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0e3a0897-ec1f-4dee-87d9-9c76575dec40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РЕСПУБЛИКИ МОРДОВИЯ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a38a8544-b3eb-4fe2-a122-ab9f72a9629d" w:id="2"/>
      <w:r>
        <w:rPr>
          <w:rFonts w:ascii="Times New Roman" w:hAnsi="Times New Roman"/>
          <w:b/>
          <w:i w:val="false"/>
          <w:color w:val="000000"/>
          <w:sz w:val="28"/>
        </w:rPr>
        <w:t>Управление образования Атяшевского муниципального района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"Атяшевская средняя школа"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Вадяева Н. Ф.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Потапова С. 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Москаев Г. 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№59-о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2873978)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учебного предмета «Вероятность и статистика.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Базовый уровень»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10-11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cb952a50-2e5e-4873-8488-e41a5f7fa479" w:id="3"/>
      <w:r>
        <w:rPr>
          <w:rFonts w:ascii="Times New Roman" w:hAnsi="Times New Roman"/>
          <w:b/>
          <w:i w:val="false"/>
          <w:color w:val="000000"/>
          <w:sz w:val="28"/>
        </w:rPr>
        <w:t>село Атяшево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ca02f4d8-9bf2-4553-b579-5a8d08367a0f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21569189" w:id="5"/>
    <w:p>
      <w:pPr>
        <w:sectPr>
          <w:pgSz w:w="11906" w:h="16383" w:orient="portrait"/>
        </w:sectPr>
      </w:pPr>
    </w:p>
    <w:bookmarkEnd w:id="5"/>
    <w:bookmarkEnd w:id="0"/>
    <w:bookmarkStart w:name="block-21569190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bookmarkStart w:name="_Toc118726574" w:id="7"/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18726606" w:id="8"/>
      <w:bookmarkEnd w:id="8"/>
      <w:r>
        <w:rPr>
          <w:rFonts w:ascii="Times New Roman" w:hAnsi="Times New Roman"/>
          <w:b/>
          <w:i w:val="false"/>
          <w:color w:val="000000"/>
          <w:sz w:val="28"/>
        </w:rPr>
        <w:t>ЦЕЛИ ИЗУЧЕНИЯ УЧЕБНОГО КУРСА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линии «Случайные события и вероятности»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18726607" w:id="9"/>
      <w:bookmarkEnd w:id="9"/>
      <w:r>
        <w:rPr>
          <w:rFonts w:ascii="Times New Roman" w:hAnsi="Times New Roman"/>
          <w:b/>
          <w:i w:val="false"/>
          <w:color w:val="000000"/>
          <w:sz w:val="28"/>
        </w:rPr>
        <w:t>МЕСТО КУРСА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bookmarkStart w:name="block-21569190" w:id="10"/>
    <w:p>
      <w:pPr>
        <w:sectPr>
          <w:pgSz w:w="11906" w:h="16383" w:orient="portrait"/>
        </w:sectPr>
      </w:pPr>
    </w:p>
    <w:bookmarkEnd w:id="10"/>
    <w:bookmarkEnd w:id="6"/>
    <w:bookmarkStart w:name="block-21569195" w:id="11"/>
    <w:p>
      <w:pPr>
        <w:spacing w:before="0" w:after="0"/>
        <w:ind w:left="120"/>
        <w:jc w:val="left"/>
      </w:pPr>
      <w:bookmarkStart w:name="_Toc118726611" w:id="12"/>
      <w:bookmarkEnd w:id="12"/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КУРСА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/>
        <w:ind w:left="120"/>
        <w:jc w:val="both"/>
      </w:pP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>
      <w:pPr>
        <w:spacing w:before="0" w:after="0"/>
        <w:ind w:left="120"/>
        <w:jc w:val="both"/>
      </w:pPr>
    </w:p>
    <w:p>
      <w:pPr>
        <w:spacing w:before="0" w:after="0"/>
        <w:ind w:left="120"/>
        <w:jc w:val="both"/>
      </w:pPr>
      <w:bookmarkStart w:name="_Toc118726613" w:id="13"/>
      <w:bookmarkEnd w:id="13"/>
      <w:r>
        <w:rPr>
          <w:rFonts w:ascii="Times New Roman" w:hAnsi="Times New Roman"/>
          <w:b/>
          <w:i w:val="false"/>
          <w:color w:val="000000"/>
          <w:sz w:val="28"/>
        </w:rPr>
        <w:t xml:space="preserve">11 </w:t>
      </w:r>
      <w:r>
        <w:rPr>
          <w:rFonts w:ascii="Times New Roman" w:hAnsi="Times New Roman"/>
          <w:b/>
          <w:i w:val="false"/>
          <w:color w:val="000000"/>
          <w:sz w:val="28"/>
        </w:rPr>
        <w:t>КЛАСС</w:t>
      </w:r>
    </w:p>
    <w:p>
      <w:pPr>
        <w:spacing w:before="0" w:after="0"/>
        <w:ind w:left="120"/>
        <w:jc w:val="both"/>
      </w:pPr>
    </w:p>
    <w:p>
      <w:pPr>
        <w:spacing w:before="0" w:after="0"/>
        <w:ind w:firstLine="600"/>
        <w:jc w:val="both"/>
      </w:pPr>
      <w:bookmarkStart w:name="_Toc73394999" w:id="14"/>
      <w:bookmarkEnd w:id="14"/>
      <w:r>
        <w:rPr>
          <w:rFonts w:ascii="Times New Roman" w:hAnsi="Times New Roman"/>
          <w:b w:val="false"/>
          <w:i w:val="false"/>
          <w:color w:val="000000"/>
          <w:sz w:val="28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Закон больших чисел и его роль в науке, природе и обществе. Выборочный метод исследований.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bookmarkStart w:name="block-21569195" w:id="15"/>
    <w:p>
      <w:pPr>
        <w:sectPr>
          <w:pgSz w:w="11906" w:h="16383" w:orient="portrait"/>
        </w:sectPr>
      </w:pPr>
    </w:p>
    <w:bookmarkEnd w:id="15"/>
    <w:bookmarkEnd w:id="11"/>
    <w:bookmarkStart w:name="block-21569194" w:id="16"/>
    <w:p>
      <w:pPr>
        <w:spacing w:before="0" w:after="0" w:line="264"/>
        <w:ind w:left="120"/>
        <w:jc w:val="both"/>
      </w:pPr>
      <w:bookmarkStart w:name="_Toc118726577" w:id="17"/>
      <w:bookmarkEnd w:id="17"/>
      <w:r>
        <w:rPr>
          <w:rFonts w:ascii="Times New Roman" w:hAnsi="Times New Roman"/>
          <w:b/>
          <w:i w:val="false"/>
          <w:color w:val="000000"/>
          <w:sz w:val="28"/>
        </w:rPr>
        <w:t xml:space="preserve">ПЛАНИРУЕМЫЕ РЕЗУЛЬТАТЫ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18726578" w:id="18"/>
      <w:bookmarkEnd w:id="18"/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учебного предмета «Математика» характеризуются: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Патриотическое воспитание:</w:t>
      </w:r>
    </w:p>
    <w:p>
      <w:pPr>
        <w:shd w:fill="ffffff"/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сформированностью российской гражданской идентичности, уважения к прошлому и настоящему российской математики,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  <w:r>
        <w:rPr>
          <w:rFonts w:ascii="Times New Roman" w:hAnsi="Times New Roman"/>
          <w:b w:val="false"/>
          <w:i w:val="false"/>
          <w:color w:val="000000"/>
          <w:sz w:val="28"/>
          <w:u w:val="single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18726579" w:id="19"/>
      <w:bookmarkEnd w:id="19"/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>
        <w:rPr>
          <w:rFonts w:ascii="Times New Roman" w:hAnsi="Times New Roman"/>
          <w:b/>
          <w:i/>
          <w:color w:val="000000"/>
          <w:sz w:val="28"/>
        </w:rPr>
        <w:t>познавательными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действиями, универсальными коммуникативными действиями, универсальными регулятивными действиями.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1)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>познавательные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2)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 xml:space="preserve">коммуникативные </w:t>
      </w:r>
      <w:r>
        <w:rPr>
          <w:rFonts w:ascii="Times New Roman" w:hAnsi="Times New Roman"/>
          <w:b w:val="false"/>
          <w:i/>
          <w:color w:val="000000"/>
          <w:sz w:val="28"/>
        </w:rPr>
        <w:t>действия, обеспечивают сформированность социальных навыков обучающихся.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Сотрудничество: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3)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 xml:space="preserve">регулятивные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действия, </w:t>
      </w:r>
      <w:r>
        <w:rPr>
          <w:rFonts w:ascii="Times New Roman" w:hAnsi="Times New Roman"/>
          <w:b w:val="false"/>
          <w:i/>
          <w:color w:val="000000"/>
          <w:sz w:val="28"/>
        </w:rPr>
        <w:t>обеспечивают формирование смысловых установок и жизненных навыков личности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18726608" w:id="20"/>
      <w:bookmarkEnd w:id="20"/>
      <w:r>
        <w:rPr>
          <w:rFonts w:ascii="Times New Roman" w:hAnsi="Times New Roman"/>
          <w:b/>
          <w:i w:val="false"/>
          <w:color w:val="000000"/>
          <w:sz w:val="28"/>
        </w:rPr>
        <w:t xml:space="preserve">ПРЕДМЕТНЫЕ РЕЗУЛЬТАТЫ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18726609" w:id="21"/>
      <w:bookmarkEnd w:id="21"/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 строить таблицы и диаграммы.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комбинаторное правило умножения при решении задач.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случайная величина, распределение вероятностей, диаграмма распределения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вероятности значений случайной величины по распределению или с помощью диаграмм.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законе больших чисел.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нормальном распределении.</w:t>
      </w:r>
    </w:p>
    <w:bookmarkStart w:name="block-21569194" w:id="22"/>
    <w:p>
      <w:pPr>
        <w:sectPr>
          <w:pgSz w:w="11906" w:h="16383" w:orient="portrait"/>
        </w:sectPr>
      </w:pPr>
    </w:p>
    <w:bookmarkEnd w:id="22"/>
    <w:bookmarkEnd w:id="16"/>
    <w:bookmarkStart w:name="block-21569191" w:id="2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6"/>
        <w:gridCol w:w="2720"/>
        <w:gridCol w:w="1404"/>
        <w:gridCol w:w="2438"/>
        <w:gridCol w:w="2562"/>
        <w:gridCol w:w="3804"/>
      </w:tblGrid>
      <w:tr>
        <w:trPr>
          <w:trHeight w:val="300" w:hRule="atLeast"/>
          <w:trHeight w:val="144" w:hRule="atLeast"/>
        </w:trPr>
        <w:tc>
          <w:tcPr>
            <w:tcW w:w="4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1569191" w:id="24"/>
    <w:p>
      <w:pPr>
        <w:sectPr>
          <w:pgSz w:w="16383" w:h="11906" w:orient="landscape"/>
        </w:sectPr>
      </w:pPr>
    </w:p>
    <w:bookmarkEnd w:id="24"/>
    <w:bookmarkEnd w:id="23"/>
    <w:bookmarkStart w:name="block-21569192" w:id="2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8"/>
        <w:gridCol w:w="2560"/>
        <w:gridCol w:w="1218"/>
        <w:gridCol w:w="2220"/>
        <w:gridCol w:w="2360"/>
        <w:gridCol w:w="1817"/>
        <w:gridCol w:w="2861"/>
      </w:tblGrid>
      <w:tr>
        <w:trPr>
          <w:trHeight w:val="300" w:hRule="atLeast"/>
          <w:trHeight w:val="144" w:hRule="atLeast"/>
        </w:trPr>
        <w:tc>
          <w:tcPr>
            <w:tcW w:w="39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0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 с помощью таблиц и диаграмм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08.09.2023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15.09.2023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0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22.09.2023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29.09.2023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эксперименты (опыты) и случайные события. Элементарные события (исходы)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06.10.2023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13.10.2023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случайного события. Практическая работа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20.10.2023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над событиями: пересечение, объединение событий, противоположные события. Диаграммы Эйлера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27.10.2023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над событиями: пересечение, объединение событий, противоположные события. Диаграммы Эйлера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10.11.2023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17.11.2023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24.11.2023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01.12.2023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08.12.2023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15.12.2023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полной вероятности. Независимые события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22.12.2023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29.12.2023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12.01.2024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19.01.2024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сочетаний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26.01.2024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Треугольник Паскаля. Формула бинома Ньютона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02.02.2024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09.02.2024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16.02.2024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01.03.2024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величина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15.03.2024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Распределение вероятностей. Диаграмма распределения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22.03.2024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Сумма и произведение случайных величин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05.04.2024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Сумма и произведение случайных величин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12.04.2024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19.04.2024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26.04.2024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03.05.2024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17.05.2024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24.05.2024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31.05.2024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5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непрерывных случайных величин. Функция плотности распределения. Равномерное распределение и его свойства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68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непрерывных случайных величин. Функция плотности распределения. Равномерное распределение и его свойства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Описательная статистика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Описательная статистика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26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Случайные величины и распределения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Случайные величины и распределения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Математическое ожидание случайной величины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Математическое ожидание случайной величины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1569192" w:id="26"/>
    <w:p>
      <w:pPr>
        <w:sectPr>
          <w:pgSz w:w="16383" w:h="11906" w:orient="landscape"/>
        </w:sectPr>
      </w:pPr>
    </w:p>
    <w:bookmarkEnd w:id="26"/>
    <w:bookmarkEnd w:id="25"/>
    <w:bookmarkStart w:name="block-21569193" w:id="2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21569193" w:id="28"/>
    <w:p>
      <w:pPr>
        <w:sectPr>
          <w:pgSz w:w="11906" w:h="16383" w:orient="portrait"/>
        </w:sectPr>
      </w:pPr>
    </w:p>
    <w:bookmarkEnd w:id="28"/>
    <w:bookmarkEnd w:id="27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